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F0166B" w14:textId="0A07BEF9" w:rsidR="007E2FC8" w:rsidRPr="00863065" w:rsidRDefault="007E2FC8" w:rsidP="007E2FC8">
      <w:pPr>
        <w:pStyle w:val="a7"/>
        <w:tabs>
          <w:tab w:val="left" w:pos="709"/>
          <w:tab w:val="right" w:pos="9639"/>
        </w:tabs>
        <w:wordWrap w:val="0"/>
        <w:spacing w:after="0"/>
        <w:ind w:right="120"/>
        <w:jc w:val="right"/>
        <w:rPr>
          <w:rFonts w:cs="Arial"/>
          <w:lang w:eastAsia="ja-JP"/>
        </w:rPr>
      </w:pPr>
      <w:r w:rsidRPr="00863065">
        <w:rPr>
          <w:rFonts w:cs="Arial"/>
        </w:rPr>
        <w:t xml:space="preserve">3GPP </w:t>
      </w:r>
      <w:r w:rsidRPr="00863065">
        <w:rPr>
          <w:rFonts w:cs="Arial"/>
          <w:lang w:eastAsia="ja-JP"/>
        </w:rPr>
        <w:t>TSG-RAN</w:t>
      </w:r>
      <w:r>
        <w:rPr>
          <w:rFonts w:cs="Arial" w:hint="eastAsia"/>
          <w:lang w:eastAsia="ja-JP"/>
        </w:rPr>
        <w:t xml:space="preserve"> WG2 </w:t>
      </w:r>
      <w:r w:rsidRPr="00863065">
        <w:rPr>
          <w:rFonts w:cs="Arial"/>
          <w:lang w:eastAsia="ja-JP"/>
        </w:rPr>
        <w:t>#</w:t>
      </w:r>
      <w:r>
        <w:rPr>
          <w:rFonts w:cs="Arial"/>
          <w:lang w:eastAsia="ja-JP"/>
        </w:rPr>
        <w:t>1</w:t>
      </w:r>
      <w:r w:rsidR="00356C07">
        <w:rPr>
          <w:rFonts w:cs="Arial"/>
          <w:lang w:eastAsia="ja-JP"/>
        </w:rPr>
        <w:t>16bis</w:t>
      </w:r>
      <w:r>
        <w:rPr>
          <w:rFonts w:cs="Arial"/>
          <w:lang w:eastAsia="ja-JP"/>
        </w:rPr>
        <w:t>-e</w:t>
      </w:r>
      <w:r w:rsidRPr="00863065">
        <w:rPr>
          <w:rFonts w:cs="Arial"/>
        </w:rPr>
        <w:tab/>
        <w:t>R</w:t>
      </w:r>
      <w:r>
        <w:rPr>
          <w:rFonts w:cs="Arial" w:hint="eastAsia"/>
          <w:lang w:eastAsia="ja-JP"/>
        </w:rPr>
        <w:t>2</w:t>
      </w:r>
      <w:r w:rsidRPr="00863065">
        <w:rPr>
          <w:rFonts w:cs="Arial"/>
          <w:lang w:eastAsia="ja-JP"/>
        </w:rPr>
        <w:t>-</w:t>
      </w:r>
      <w:r>
        <w:rPr>
          <w:rFonts w:cs="Arial"/>
          <w:lang w:eastAsia="ja-JP"/>
        </w:rPr>
        <w:t>2</w:t>
      </w:r>
      <w:r w:rsidR="00356C07">
        <w:rPr>
          <w:rFonts w:cs="Arial" w:hint="eastAsia"/>
          <w:lang w:eastAsia="ja-JP"/>
        </w:rPr>
        <w:t>2</w:t>
      </w:r>
      <w:r w:rsidR="00CB7B7A">
        <w:rPr>
          <w:rFonts w:cs="Arial"/>
          <w:lang w:eastAsia="ja-JP"/>
        </w:rPr>
        <w:t>01342</w:t>
      </w:r>
    </w:p>
    <w:p w14:paraId="0998BDA6" w14:textId="62DEF399" w:rsidR="007E2FC8" w:rsidRPr="00863065" w:rsidRDefault="007E2FC8" w:rsidP="007E2FC8">
      <w:pPr>
        <w:pStyle w:val="a7"/>
        <w:tabs>
          <w:tab w:val="left" w:pos="709"/>
          <w:tab w:val="right" w:pos="9639"/>
        </w:tabs>
        <w:spacing w:after="0"/>
        <w:jc w:val="left"/>
        <w:rPr>
          <w:rFonts w:cs="Arial"/>
          <w:lang w:val="en-US" w:eastAsia="ja-JP"/>
        </w:rPr>
      </w:pPr>
      <w:r>
        <w:rPr>
          <w:rFonts w:cs="Arial"/>
          <w:lang w:val="en-US" w:eastAsia="ja-JP"/>
        </w:rPr>
        <w:t xml:space="preserve">Electronic meeting, </w:t>
      </w:r>
      <w:r w:rsidR="00581FC1">
        <w:rPr>
          <w:rFonts w:cs="Arial"/>
          <w:lang w:val="en-US" w:eastAsia="ja-JP"/>
        </w:rPr>
        <w:t>17</w:t>
      </w:r>
      <w:r w:rsidR="00581FC1">
        <w:rPr>
          <w:rFonts w:cs="Arial"/>
          <w:vertAlign w:val="superscript"/>
          <w:lang w:val="en-US" w:eastAsia="ja-JP"/>
        </w:rPr>
        <w:t>th</w:t>
      </w:r>
      <w:r>
        <w:rPr>
          <w:rFonts w:cs="Arial" w:hint="eastAsia"/>
          <w:lang w:val="en-US" w:eastAsia="ja-JP"/>
        </w:rPr>
        <w:t xml:space="preserve"> </w:t>
      </w:r>
      <w:r>
        <w:rPr>
          <w:rFonts w:cs="Arial"/>
          <w:lang w:val="en-US" w:eastAsia="ja-JP"/>
        </w:rPr>
        <w:t>–</w:t>
      </w:r>
      <w:r>
        <w:rPr>
          <w:rFonts w:cs="Arial" w:hint="eastAsia"/>
          <w:lang w:val="en-US" w:eastAsia="ja-JP"/>
        </w:rPr>
        <w:t xml:space="preserve"> </w:t>
      </w:r>
      <w:r w:rsidR="00581FC1">
        <w:rPr>
          <w:rFonts w:cs="Arial"/>
          <w:lang w:val="en-US" w:eastAsia="ja-JP"/>
        </w:rPr>
        <w:t>25</w:t>
      </w:r>
      <w:r>
        <w:rPr>
          <w:rFonts w:cs="Arial" w:hint="eastAsia"/>
          <w:vertAlign w:val="superscript"/>
          <w:lang w:val="en-US" w:eastAsia="ja-JP"/>
        </w:rPr>
        <w:t>th</w:t>
      </w:r>
      <w:r w:rsidRPr="00802E96">
        <w:rPr>
          <w:rFonts w:cs="Arial"/>
          <w:lang w:val="en-US" w:eastAsia="ja-JP"/>
        </w:rPr>
        <w:t xml:space="preserve"> </w:t>
      </w:r>
      <w:r w:rsidR="00581FC1">
        <w:rPr>
          <w:rFonts w:cs="Arial"/>
          <w:lang w:val="en-US" w:eastAsia="ja-JP"/>
        </w:rPr>
        <w:t>January</w:t>
      </w:r>
      <w:r w:rsidRPr="00802E96">
        <w:rPr>
          <w:rFonts w:cs="Arial"/>
          <w:lang w:val="en-US" w:eastAsia="ja-JP"/>
        </w:rPr>
        <w:t xml:space="preserve"> 20</w:t>
      </w:r>
      <w:r>
        <w:rPr>
          <w:rFonts w:cs="Arial"/>
          <w:lang w:val="en-US" w:eastAsia="ja-JP"/>
        </w:rPr>
        <w:t>21</w:t>
      </w:r>
    </w:p>
    <w:p w14:paraId="43B03450" w14:textId="77777777" w:rsidR="007E2FC8" w:rsidRPr="00863065" w:rsidRDefault="007E2FC8" w:rsidP="007E2FC8">
      <w:pPr>
        <w:pStyle w:val="a7"/>
        <w:pBdr>
          <w:bottom w:val="single" w:sz="4" w:space="1" w:color="auto"/>
        </w:pBdr>
        <w:tabs>
          <w:tab w:val="left" w:pos="709"/>
        </w:tabs>
        <w:spacing w:after="0"/>
        <w:jc w:val="left"/>
        <w:rPr>
          <w:rFonts w:cs="Arial"/>
          <w:lang w:val="en-US" w:eastAsia="ja-JP"/>
        </w:rPr>
      </w:pPr>
    </w:p>
    <w:p w14:paraId="59D3C4F1" w14:textId="77777777" w:rsidR="007E2FC8" w:rsidRPr="00863065" w:rsidRDefault="007E2FC8" w:rsidP="007E2FC8">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Pr>
          <w:rFonts w:ascii="Arial" w:hAnsi="Arial" w:cs="Arial"/>
          <w:b/>
          <w:sz w:val="24"/>
          <w:lang w:val="en-US" w:eastAsia="ja-JP"/>
        </w:rPr>
        <w:tab/>
      </w:r>
      <w:r>
        <w:rPr>
          <w:rFonts w:ascii="Arial" w:hAnsi="Arial" w:cs="Arial" w:hint="eastAsia"/>
          <w:b/>
          <w:sz w:val="24"/>
          <w:lang w:val="en-US" w:eastAsia="ja-JP"/>
        </w:rPr>
        <w:t>NTT DOCOMO, INC.</w:t>
      </w:r>
    </w:p>
    <w:p w14:paraId="2C373043" w14:textId="6713021D" w:rsidR="007E2FC8" w:rsidRPr="00863065" w:rsidRDefault="007E2FC8" w:rsidP="007E2FC8">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91239D">
        <w:rPr>
          <w:rFonts w:ascii="Arial" w:hAnsi="Arial" w:cs="Arial"/>
          <w:b/>
          <w:sz w:val="24"/>
        </w:rPr>
        <w:t>Discussion on updating TCI states</w:t>
      </w:r>
    </w:p>
    <w:p w14:paraId="5C434498" w14:textId="77777777" w:rsidR="007E2FC8" w:rsidRPr="00863065" w:rsidRDefault="007E2FC8" w:rsidP="007E2FC8">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Pr>
          <w:rFonts w:ascii="Arial" w:hAnsi="Arial" w:cs="Arial" w:hint="eastAsia"/>
          <w:b/>
          <w:sz w:val="24"/>
          <w:lang w:eastAsia="ja-JP"/>
        </w:rPr>
        <w:t>Discussion and decision</w:t>
      </w:r>
    </w:p>
    <w:p w14:paraId="1BAB5549" w14:textId="70E7A70E" w:rsidR="007E2FC8" w:rsidRPr="00863065" w:rsidRDefault="007E2FC8" w:rsidP="007E2FC8">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581FC1">
        <w:rPr>
          <w:rFonts w:ascii="Arial" w:hAnsi="Arial" w:cs="Arial"/>
          <w:b/>
          <w:sz w:val="24"/>
          <w:lang w:eastAsia="ja-JP"/>
        </w:rPr>
        <w:t>8</w:t>
      </w:r>
      <w:r>
        <w:rPr>
          <w:rFonts w:ascii="Arial" w:hAnsi="Arial" w:cs="Arial"/>
          <w:b/>
          <w:sz w:val="24"/>
          <w:lang w:eastAsia="ja-JP"/>
        </w:rPr>
        <w:t>.</w:t>
      </w:r>
      <w:r w:rsidR="00581FC1">
        <w:rPr>
          <w:rFonts w:ascii="Arial" w:hAnsi="Arial" w:cs="Arial"/>
          <w:b/>
          <w:sz w:val="24"/>
          <w:lang w:eastAsia="ja-JP"/>
        </w:rPr>
        <w:t>2</w:t>
      </w:r>
      <w:r>
        <w:rPr>
          <w:rFonts w:ascii="Arial" w:hAnsi="Arial" w:cs="Arial"/>
          <w:b/>
          <w:sz w:val="24"/>
          <w:lang w:eastAsia="ja-JP"/>
        </w:rPr>
        <w:t>.</w:t>
      </w:r>
      <w:r w:rsidR="00581FC1">
        <w:rPr>
          <w:rFonts w:ascii="Arial" w:hAnsi="Arial" w:cs="Arial"/>
          <w:b/>
          <w:sz w:val="24"/>
          <w:lang w:eastAsia="ja-JP"/>
        </w:rPr>
        <w:t>2.1</w:t>
      </w:r>
    </w:p>
    <w:p w14:paraId="16F391BC" w14:textId="77777777" w:rsidR="007E2FC8" w:rsidRDefault="007E2FC8" w:rsidP="007E2FC8">
      <w:pPr>
        <w:pStyle w:val="2"/>
        <w:numPr>
          <w:ilvl w:val="0"/>
          <w:numId w:val="1"/>
        </w:numPr>
        <w:rPr>
          <w:rFonts w:cs="Arial"/>
          <w:lang w:eastAsia="ja-JP"/>
        </w:rPr>
      </w:pPr>
      <w:r w:rsidRPr="00863065">
        <w:rPr>
          <w:rFonts w:cs="Arial"/>
          <w:lang w:eastAsia="ja-JP"/>
        </w:rPr>
        <w:t>Introduction</w:t>
      </w:r>
    </w:p>
    <w:p w14:paraId="11FB1AD9" w14:textId="07DD59F0" w:rsidR="00094EFC" w:rsidRDefault="00094EFC" w:rsidP="007E2FC8">
      <w:pPr>
        <w:rPr>
          <w:lang w:eastAsia="ja-JP"/>
        </w:rPr>
      </w:pPr>
      <w:r>
        <w:rPr>
          <w:rFonts w:hint="eastAsia"/>
          <w:lang w:eastAsia="ja-JP"/>
        </w:rPr>
        <w:t>R</w:t>
      </w:r>
      <w:r>
        <w:rPr>
          <w:lang w:eastAsia="ja-JP"/>
        </w:rPr>
        <w:t>elated to following agreement</w:t>
      </w:r>
      <w:r w:rsidR="009A3AFA">
        <w:rPr>
          <w:rFonts w:hint="eastAsia"/>
          <w:lang w:eastAsia="ja-JP"/>
        </w:rPr>
        <w:t>s</w:t>
      </w:r>
      <w:r>
        <w:rPr>
          <w:lang w:eastAsia="ja-JP"/>
        </w:rPr>
        <w:t>;</w:t>
      </w:r>
    </w:p>
    <w:p w14:paraId="778B6A2D" w14:textId="4FB46B5D" w:rsidR="00094EFC" w:rsidRDefault="00094EFC" w:rsidP="00094EFC">
      <w:pPr>
        <w:pStyle w:val="Agreement"/>
      </w:pPr>
      <w:r w:rsidRPr="00F15AB3">
        <w:t>4: The UE performs RLM and BFD on PSCell while the SCG is deactivated if network configures it.</w:t>
      </w:r>
    </w:p>
    <w:p w14:paraId="5787C0E6" w14:textId="77777777" w:rsidR="009A3AFA" w:rsidRPr="009A3AFA" w:rsidRDefault="009A3AFA" w:rsidP="009A3AFA">
      <w:pPr>
        <w:rPr>
          <w:lang w:eastAsia="en-GB"/>
        </w:rPr>
      </w:pPr>
    </w:p>
    <w:p w14:paraId="5FB57773" w14:textId="77777777" w:rsidR="009A3AFA" w:rsidRPr="00F15AB3" w:rsidRDefault="009A3AFA" w:rsidP="009A3AFA">
      <w:pPr>
        <w:pStyle w:val="Agreement"/>
      </w:pPr>
      <w:r w:rsidRPr="00F15AB3">
        <w:t xml:space="preserve">3: The SCG activation indication can indicate the TCI state (with or without BWP switching) for PDCCH/PDSCH reception. Otherwise, the UE uses the previously activated TCI states and the network should ensure that the relevant TCI states are configured and activated for the UE to monitor PDCCH at RACH-less SCG activation. </w:t>
      </w:r>
    </w:p>
    <w:p w14:paraId="37541713" w14:textId="77777777" w:rsidR="009A3AFA" w:rsidRDefault="009A3AFA" w:rsidP="007E2FC8">
      <w:pPr>
        <w:rPr>
          <w:lang w:eastAsia="ja-JP"/>
        </w:rPr>
      </w:pPr>
    </w:p>
    <w:p w14:paraId="47826BCA" w14:textId="0E0029E6" w:rsidR="00094EFC" w:rsidRDefault="00094EFC" w:rsidP="007E2FC8">
      <w:pPr>
        <w:rPr>
          <w:lang w:eastAsia="ja-JP"/>
        </w:rPr>
      </w:pPr>
      <w:r>
        <w:rPr>
          <w:lang w:eastAsia="ja-JP"/>
        </w:rPr>
        <w:t>we discuss TCI state updates during SCG deactivated state in this contribution.</w:t>
      </w:r>
    </w:p>
    <w:p w14:paraId="6676B1CA" w14:textId="77777777" w:rsidR="00154135" w:rsidRPr="00280561" w:rsidRDefault="00154135" w:rsidP="007E2FC8">
      <w:pPr>
        <w:rPr>
          <w:lang w:eastAsia="ja-JP"/>
        </w:rPr>
      </w:pPr>
    </w:p>
    <w:p w14:paraId="4DECCF68" w14:textId="10E69174" w:rsidR="007E2FC8" w:rsidRDefault="007E2FC8" w:rsidP="004D1A4F">
      <w:pPr>
        <w:pStyle w:val="2"/>
        <w:numPr>
          <w:ilvl w:val="0"/>
          <w:numId w:val="2"/>
        </w:numPr>
        <w:rPr>
          <w:lang w:eastAsia="ja-JP"/>
        </w:rPr>
      </w:pPr>
      <w:r>
        <w:rPr>
          <w:rFonts w:hint="eastAsia"/>
          <w:lang w:eastAsia="ja-JP"/>
        </w:rPr>
        <w:t>Discussion</w:t>
      </w:r>
    </w:p>
    <w:p w14:paraId="7866D99E" w14:textId="5E4BF6CE" w:rsidR="004D1A4F" w:rsidRPr="004D1A4F" w:rsidRDefault="004D1A4F" w:rsidP="004D1A4F">
      <w:pPr>
        <w:rPr>
          <w:u w:val="single"/>
          <w:lang w:eastAsia="ja-JP"/>
        </w:rPr>
      </w:pPr>
      <w:r w:rsidRPr="004D1A4F">
        <w:rPr>
          <w:u w:val="single"/>
          <w:lang w:eastAsia="ja-JP"/>
        </w:rPr>
        <w:t xml:space="preserve">Indicating </w:t>
      </w:r>
      <w:r w:rsidRPr="004D1A4F">
        <w:rPr>
          <w:rFonts w:hint="eastAsia"/>
          <w:u w:val="single"/>
          <w:lang w:eastAsia="ja-JP"/>
        </w:rPr>
        <w:t>T</w:t>
      </w:r>
      <w:r w:rsidRPr="004D1A4F">
        <w:rPr>
          <w:u w:val="single"/>
          <w:lang w:eastAsia="ja-JP"/>
        </w:rPr>
        <w:t>CI states during SCG deactivated state</w:t>
      </w:r>
    </w:p>
    <w:p w14:paraId="6B381967" w14:textId="37971C08" w:rsidR="004D1A4F" w:rsidRDefault="00A90566" w:rsidP="004D1A4F">
      <w:pPr>
        <w:rPr>
          <w:lang w:eastAsia="ja-JP"/>
        </w:rPr>
      </w:pPr>
      <w:r>
        <w:rPr>
          <w:rFonts w:hint="eastAsia"/>
          <w:lang w:eastAsia="ja-JP"/>
        </w:rPr>
        <w:t>R</w:t>
      </w:r>
      <w:r>
        <w:rPr>
          <w:lang w:eastAsia="ja-JP"/>
        </w:rPr>
        <w:t>AN2 made following agreements in RAN2#115.</w:t>
      </w:r>
    </w:p>
    <w:p w14:paraId="62454B91" w14:textId="77777777" w:rsidR="00222B0D" w:rsidRPr="00F15AB3" w:rsidRDefault="00222B0D" w:rsidP="00222B0D">
      <w:pPr>
        <w:pStyle w:val="Agreement"/>
      </w:pPr>
      <w:r w:rsidRPr="00F15AB3">
        <w:t xml:space="preserve">3: The SCG activation indication can indicate the TCI state (with or without BWP switching) for PDCCH/PDSCH reception. Otherwise, the UE uses the previously activated TCI states and the network should ensure that the relevant TCI states are configured and activated for the UE to monitor PDCCH at RACH-less SCG activation. </w:t>
      </w:r>
    </w:p>
    <w:p w14:paraId="2157D2B7" w14:textId="7F5293C3" w:rsidR="00A90566" w:rsidRDefault="00E173D1" w:rsidP="004D1A4F">
      <w:pPr>
        <w:rPr>
          <w:lang w:eastAsia="ja-JP"/>
        </w:rPr>
      </w:pPr>
      <w:r>
        <w:rPr>
          <w:lang w:eastAsia="ja-JP"/>
        </w:rPr>
        <w:t>Because of</w:t>
      </w:r>
      <w:r w:rsidR="00A90566">
        <w:rPr>
          <w:lang w:eastAsia="ja-JP"/>
        </w:rPr>
        <w:t xml:space="preserve"> above, the network can indicate the TCI state</w:t>
      </w:r>
      <w:r>
        <w:rPr>
          <w:lang w:eastAsia="ja-JP"/>
        </w:rPr>
        <w:t>s</w:t>
      </w:r>
      <w:r w:rsidR="00A90566">
        <w:rPr>
          <w:lang w:eastAsia="ja-JP"/>
        </w:rPr>
        <w:t xml:space="preserve"> for PDCCH/PDSCH reception when SCG activation is indicated. In the last meeting, a company proposed to expand indication of TCI state to RRC reconfiguration while SCG is deactivated[</w:t>
      </w:r>
      <w:r w:rsidR="009A3AFA">
        <w:rPr>
          <w:lang w:eastAsia="ja-JP"/>
        </w:rPr>
        <w:t>1</w:t>
      </w:r>
      <w:r w:rsidR="00A90566">
        <w:rPr>
          <w:lang w:eastAsia="ja-JP"/>
        </w:rPr>
        <w:t xml:space="preserve">]. </w:t>
      </w:r>
      <w:r w:rsidR="00946004">
        <w:rPr>
          <w:lang w:eastAsia="ja-JP"/>
        </w:rPr>
        <w:t>We agree with the proposal. In our understanding</w:t>
      </w:r>
      <w:r w:rsidR="00A90566">
        <w:rPr>
          <w:lang w:eastAsia="ja-JP"/>
        </w:rPr>
        <w:t xml:space="preserve"> that is operated as follows:</w:t>
      </w:r>
    </w:p>
    <w:p w14:paraId="529DA3D0" w14:textId="723FDEDD" w:rsidR="00A90566" w:rsidRDefault="00A90566" w:rsidP="004D1A4F">
      <w:pPr>
        <w:rPr>
          <w:lang w:eastAsia="ja-JP"/>
        </w:rPr>
      </w:pPr>
      <w:r>
        <w:rPr>
          <w:rFonts w:hint="eastAsia"/>
          <w:lang w:eastAsia="ja-JP"/>
        </w:rPr>
        <w:t>W</w:t>
      </w:r>
      <w:r>
        <w:rPr>
          <w:lang w:eastAsia="ja-JP"/>
        </w:rPr>
        <w:t xml:space="preserve">hen UE detects RLF of PSCell </w:t>
      </w:r>
      <w:r w:rsidR="000D22DD">
        <w:rPr>
          <w:lang w:eastAsia="ja-JP"/>
        </w:rPr>
        <w:t>in</w:t>
      </w:r>
      <w:r w:rsidR="00E173D1">
        <w:rPr>
          <w:lang w:eastAsia="ja-JP"/>
        </w:rPr>
        <w:t xml:space="preserve"> deactivated SCG</w:t>
      </w:r>
      <w:r>
        <w:rPr>
          <w:lang w:eastAsia="ja-JP"/>
        </w:rPr>
        <w:t xml:space="preserve">, UE sends </w:t>
      </w:r>
      <w:r w:rsidRPr="00AF5AE1">
        <w:rPr>
          <w:i/>
          <w:iCs/>
          <w:lang w:eastAsia="ja-JP"/>
        </w:rPr>
        <w:t>SCGFailureInformation</w:t>
      </w:r>
      <w:r>
        <w:rPr>
          <w:lang w:eastAsia="ja-JP"/>
        </w:rPr>
        <w:t xml:space="preserve"> to MN. If successfully received, MN selects proper new TCI states for PDCCH/PDSCH considering </w:t>
      </w:r>
      <w:r w:rsidRPr="00E173D1">
        <w:rPr>
          <w:i/>
          <w:iCs/>
          <w:lang w:eastAsia="ja-JP"/>
        </w:rPr>
        <w:t>MeasResultSCG-Failure</w:t>
      </w:r>
      <w:r>
        <w:rPr>
          <w:lang w:eastAsia="ja-JP"/>
        </w:rPr>
        <w:t>, then informs new TCI</w:t>
      </w:r>
      <w:r w:rsidR="00E173D1">
        <w:rPr>
          <w:lang w:eastAsia="ja-JP"/>
        </w:rPr>
        <w:t xml:space="preserve"> </w:t>
      </w:r>
      <w:r>
        <w:rPr>
          <w:lang w:eastAsia="ja-JP"/>
        </w:rPr>
        <w:t xml:space="preserve">states to UE. Thus UE can continue RLM </w:t>
      </w:r>
      <w:r w:rsidR="009A3AFA">
        <w:rPr>
          <w:lang w:eastAsia="ja-JP"/>
        </w:rPr>
        <w:t xml:space="preserve">and BFD </w:t>
      </w:r>
      <w:r>
        <w:rPr>
          <w:lang w:eastAsia="ja-JP"/>
        </w:rPr>
        <w:t>to valid new RS based on informed TCI states.</w:t>
      </w:r>
    </w:p>
    <w:p w14:paraId="0EBE7732" w14:textId="37DA7423" w:rsidR="00222B0D" w:rsidRPr="00A5575B" w:rsidRDefault="00A90566" w:rsidP="004D1A4F">
      <w:pPr>
        <w:rPr>
          <w:b/>
          <w:bCs/>
          <w:lang w:eastAsia="ja-JP"/>
        </w:rPr>
      </w:pPr>
      <w:r w:rsidRPr="00A5575B">
        <w:rPr>
          <w:b/>
          <w:bCs/>
          <w:lang w:eastAsia="ja-JP"/>
        </w:rPr>
        <w:t xml:space="preserve">Observation </w:t>
      </w:r>
      <w:r w:rsidR="00A5575B" w:rsidRPr="00A5575B">
        <w:rPr>
          <w:b/>
          <w:bCs/>
          <w:lang w:eastAsia="ja-JP"/>
        </w:rPr>
        <w:t>1</w:t>
      </w:r>
      <w:r w:rsidRPr="00A5575B">
        <w:rPr>
          <w:b/>
          <w:bCs/>
          <w:lang w:eastAsia="ja-JP"/>
        </w:rPr>
        <w:t xml:space="preserve">: If MN </w:t>
      </w:r>
      <w:r w:rsidR="00094EFC" w:rsidRPr="00A5575B">
        <w:rPr>
          <w:b/>
          <w:bCs/>
          <w:lang w:eastAsia="ja-JP"/>
        </w:rPr>
        <w:t>updates</w:t>
      </w:r>
      <w:r w:rsidRPr="00A5575B">
        <w:rPr>
          <w:b/>
          <w:bCs/>
          <w:lang w:eastAsia="ja-JP"/>
        </w:rPr>
        <w:t xml:space="preserve"> the TCI state for PDCCH/PDSCH reception during SCG deactivated state, UE can continue RLM </w:t>
      </w:r>
      <w:r w:rsidR="009A3AFA" w:rsidRPr="00A5575B">
        <w:rPr>
          <w:b/>
          <w:bCs/>
          <w:lang w:eastAsia="ja-JP"/>
        </w:rPr>
        <w:t xml:space="preserve">and BFD </w:t>
      </w:r>
      <w:r w:rsidRPr="00A5575B">
        <w:rPr>
          <w:b/>
          <w:bCs/>
          <w:lang w:eastAsia="ja-JP"/>
        </w:rPr>
        <w:t>to valid RS even after RLF is detected.</w:t>
      </w:r>
    </w:p>
    <w:p w14:paraId="4484FD70" w14:textId="1A6B0558" w:rsidR="004D1A4F" w:rsidRPr="00A5575B" w:rsidRDefault="004D1A4F" w:rsidP="004D1A4F">
      <w:pPr>
        <w:rPr>
          <w:b/>
          <w:bCs/>
          <w:lang w:eastAsia="ja-JP"/>
        </w:rPr>
      </w:pPr>
      <w:r w:rsidRPr="00A5575B">
        <w:rPr>
          <w:rFonts w:hint="eastAsia"/>
          <w:b/>
          <w:bCs/>
          <w:lang w:eastAsia="ja-JP"/>
        </w:rPr>
        <w:t>P</w:t>
      </w:r>
      <w:r w:rsidRPr="00A5575B">
        <w:rPr>
          <w:b/>
          <w:bCs/>
          <w:lang w:eastAsia="ja-JP"/>
        </w:rPr>
        <w:t xml:space="preserve">roposal </w:t>
      </w:r>
      <w:r w:rsidR="00A5575B" w:rsidRPr="00A5575B">
        <w:rPr>
          <w:b/>
          <w:bCs/>
          <w:lang w:eastAsia="ja-JP"/>
        </w:rPr>
        <w:t>1</w:t>
      </w:r>
      <w:r w:rsidRPr="00A5575B">
        <w:rPr>
          <w:b/>
          <w:bCs/>
          <w:lang w:eastAsia="ja-JP"/>
        </w:rPr>
        <w:t xml:space="preserve">. </w:t>
      </w:r>
      <w:r w:rsidR="00094EFC" w:rsidRPr="00A5575B">
        <w:rPr>
          <w:b/>
          <w:bCs/>
          <w:lang w:eastAsia="ja-JP"/>
        </w:rPr>
        <w:t>MN can update the TCI state for PDCCH/PDSCH while SCG is deactivated.</w:t>
      </w:r>
    </w:p>
    <w:p w14:paraId="47C937AF" w14:textId="77777777" w:rsidR="00A5575B" w:rsidRDefault="00A5575B" w:rsidP="004D1A4F">
      <w:pPr>
        <w:rPr>
          <w:u w:val="single"/>
          <w:lang w:eastAsia="ja-JP"/>
        </w:rPr>
      </w:pPr>
    </w:p>
    <w:p w14:paraId="6CE829C0" w14:textId="555F6597" w:rsidR="004D1A4F" w:rsidRPr="004D1A4F" w:rsidRDefault="004D1A4F" w:rsidP="004D1A4F">
      <w:pPr>
        <w:rPr>
          <w:u w:val="single"/>
          <w:lang w:eastAsia="ja-JP"/>
        </w:rPr>
      </w:pPr>
      <w:r w:rsidRPr="004D1A4F">
        <w:rPr>
          <w:rFonts w:hint="eastAsia"/>
          <w:u w:val="single"/>
          <w:lang w:eastAsia="ja-JP"/>
        </w:rPr>
        <w:t>R</w:t>
      </w:r>
      <w:r w:rsidRPr="004D1A4F">
        <w:rPr>
          <w:u w:val="single"/>
          <w:lang w:eastAsia="ja-JP"/>
        </w:rPr>
        <w:t xml:space="preserve">eleasing RS </w:t>
      </w:r>
      <w:r>
        <w:rPr>
          <w:u w:val="single"/>
          <w:lang w:eastAsia="ja-JP"/>
        </w:rPr>
        <w:t>configured</w:t>
      </w:r>
      <w:r w:rsidRPr="004D1A4F">
        <w:rPr>
          <w:u w:val="single"/>
          <w:lang w:eastAsia="ja-JP"/>
        </w:rPr>
        <w:t xml:space="preserve"> </w:t>
      </w:r>
      <w:r w:rsidR="00222B0D">
        <w:rPr>
          <w:u w:val="single"/>
          <w:lang w:eastAsia="ja-JP"/>
        </w:rPr>
        <w:t xml:space="preserve">in </w:t>
      </w:r>
      <w:r w:rsidR="00222B0D" w:rsidRPr="00222B0D">
        <w:rPr>
          <w:i/>
          <w:iCs/>
          <w:u w:val="single"/>
          <w:lang w:eastAsia="ja-JP"/>
        </w:rPr>
        <w:t>RadioLinkMonitoringConfig</w:t>
      </w:r>
    </w:p>
    <w:p w14:paraId="539AC278" w14:textId="1BAC4BED" w:rsidR="009A3AFA" w:rsidRDefault="00A5575B" w:rsidP="004D1A4F">
      <w:pPr>
        <w:rPr>
          <w:lang w:eastAsia="ja-JP"/>
        </w:rPr>
      </w:pPr>
      <w:r>
        <w:rPr>
          <w:rFonts w:hint="eastAsia"/>
          <w:lang w:eastAsia="ja-JP"/>
        </w:rPr>
        <w:t>I</w:t>
      </w:r>
      <w:r>
        <w:rPr>
          <w:lang w:eastAsia="ja-JP"/>
        </w:rPr>
        <w:t>n the current spec[2], UE selects a RS to perform RLM as follows:</w:t>
      </w:r>
    </w:p>
    <w:p w14:paraId="0CEF9912" w14:textId="77777777" w:rsidR="009A3AFA" w:rsidRPr="009A3AFA" w:rsidRDefault="009A3AFA" w:rsidP="009A3AFA">
      <w:pPr>
        <w:rPr>
          <w:shd w:val="pct15" w:color="auto" w:fill="FFFFFF"/>
        </w:rPr>
      </w:pPr>
      <w:r w:rsidRPr="009A3AFA">
        <w:rPr>
          <w:shd w:val="pct15" w:color="auto" w:fill="FFFFFF"/>
        </w:rPr>
        <w:t xml:space="preserve">If the UE is not provided </w:t>
      </w:r>
      <w:r w:rsidRPr="009A3AFA">
        <w:rPr>
          <w:i/>
          <w:shd w:val="pct15" w:color="auto" w:fill="FFFFFF"/>
        </w:rPr>
        <w:t>RadioLinkMonitoringRS</w:t>
      </w:r>
      <w:r w:rsidRPr="009A3AFA">
        <w:rPr>
          <w:iCs/>
          <w:shd w:val="pct15" w:color="auto" w:fill="FFFFFF"/>
        </w:rPr>
        <w:t xml:space="preserve"> and the UE is provided for PDCCH receptions TCI states that include one or more of a CSI-RS</w:t>
      </w:r>
    </w:p>
    <w:p w14:paraId="5ECFF219" w14:textId="77777777" w:rsidR="009A3AFA" w:rsidRPr="009A3AFA" w:rsidRDefault="009A3AFA" w:rsidP="009A3AFA">
      <w:pPr>
        <w:pStyle w:val="B1"/>
        <w:rPr>
          <w:shd w:val="pct15" w:color="auto" w:fill="FFFFFF"/>
          <w:lang w:val="en-US" w:eastAsia="ja-JP"/>
        </w:rPr>
      </w:pPr>
      <w:r w:rsidRPr="009A3AFA">
        <w:rPr>
          <w:shd w:val="pct15" w:color="auto" w:fill="FFFFFF"/>
          <w:lang w:eastAsia="ja-JP"/>
        </w:rPr>
        <w:lastRenderedPageBreak/>
        <w:t>-</w:t>
      </w:r>
      <w:r w:rsidRPr="009A3AFA">
        <w:rPr>
          <w:shd w:val="pct15" w:color="auto" w:fill="FFFFFF"/>
          <w:lang w:eastAsia="ja-JP"/>
        </w:rPr>
        <w:tab/>
      </w:r>
      <w:r w:rsidRPr="009A3AFA">
        <w:rPr>
          <w:rFonts w:hint="eastAsia"/>
          <w:shd w:val="pct15" w:color="auto" w:fill="FFFFFF"/>
          <w:lang w:eastAsia="ja-JP"/>
        </w:rPr>
        <w:t xml:space="preserve">the </w:t>
      </w:r>
      <w:r w:rsidRPr="009A3AFA">
        <w:rPr>
          <w:shd w:val="pct15" w:color="auto" w:fill="FFFFFF"/>
          <w:lang w:val="en-US" w:eastAsia="ja-JP"/>
        </w:rPr>
        <w:t xml:space="preserve">UE uses for radio link monitoring the RS provided for the active TCI state for PDCCH </w:t>
      </w:r>
      <w:r w:rsidRPr="009A3AFA">
        <w:rPr>
          <w:iCs/>
          <w:shd w:val="pct15" w:color="auto" w:fill="FFFFFF"/>
        </w:rPr>
        <w:t>reception</w:t>
      </w:r>
      <w:r w:rsidRPr="009A3AFA">
        <w:rPr>
          <w:shd w:val="pct15" w:color="auto" w:fill="FFFFFF"/>
          <w:lang w:val="en-US" w:eastAsia="ja-JP"/>
        </w:rPr>
        <w:t xml:space="preserve"> if the active TCI state for PDCCH reception includes only one RS</w:t>
      </w:r>
    </w:p>
    <w:p w14:paraId="1DD7709E" w14:textId="16D3B1DD" w:rsidR="009A3AFA" w:rsidRDefault="00A5575B" w:rsidP="00A5575B">
      <w:pPr>
        <w:rPr>
          <w:lang w:val="en-US" w:eastAsia="ja-JP"/>
        </w:rPr>
      </w:pPr>
      <w:r>
        <w:rPr>
          <w:lang w:val="en-US" w:eastAsia="ja-JP"/>
        </w:rPr>
        <w:t xml:space="preserve">Also, </w:t>
      </w:r>
      <w:r>
        <w:rPr>
          <w:lang w:eastAsia="ja-JP"/>
        </w:rPr>
        <w:t>UE selects a set of RSs to perform BFD as follows:</w:t>
      </w:r>
      <w:r>
        <w:rPr>
          <w:lang w:val="en-US" w:eastAsia="ja-JP"/>
        </w:rPr>
        <w:t xml:space="preserve"> </w:t>
      </w:r>
    </w:p>
    <w:p w14:paraId="1C105AAA" w14:textId="1937B04A" w:rsidR="009A3AFA" w:rsidRPr="009A3AFA" w:rsidRDefault="009A3AFA" w:rsidP="004D1A4F">
      <w:pPr>
        <w:rPr>
          <w:shd w:val="pct15" w:color="auto" w:fill="FFFFFF"/>
          <w:lang w:val="en-US" w:eastAsia="ja-JP"/>
        </w:rPr>
      </w:pPr>
      <w:r w:rsidRPr="009A3AFA">
        <w:rPr>
          <w:shd w:val="pct15" w:color="auto" w:fill="FFFFFF"/>
          <w:lang w:eastAsia="ja-JP"/>
        </w:rPr>
        <w:t xml:space="preserve">A </w:t>
      </w:r>
      <w:r w:rsidRPr="009A3AFA">
        <w:rPr>
          <w:shd w:val="pct15" w:color="auto" w:fill="FFFFFF"/>
        </w:rPr>
        <w:t xml:space="preserve">UE can be provided, for each BWP of a serving cell, a set </w:t>
      </w:r>
      <w:r w:rsidRPr="009A3AFA">
        <w:rPr>
          <w:iCs/>
          <w:noProof/>
          <w:position w:val="-10"/>
          <w:shd w:val="pct15" w:color="auto" w:fill="FFFFFF"/>
        </w:rPr>
        <w:drawing>
          <wp:inline distT="0" distB="0" distL="0" distR="0" wp14:anchorId="3A72EBD2" wp14:editId="34966AC2">
            <wp:extent cx="180975" cy="180975"/>
            <wp:effectExtent l="0" t="0" r="9525" b="952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9A3AFA">
        <w:rPr>
          <w:iCs/>
          <w:shd w:val="pct15" w:color="auto" w:fill="FFFFFF"/>
        </w:rPr>
        <w:t xml:space="preserve"> of periodic CSI-RS resource configuration indexes by </w:t>
      </w:r>
      <w:r w:rsidRPr="009A3AFA">
        <w:rPr>
          <w:i/>
          <w:shd w:val="pct15" w:color="auto" w:fill="FFFFFF"/>
        </w:rPr>
        <w:t>failureDetectionResources</w:t>
      </w:r>
      <w:r w:rsidRPr="009A3AFA">
        <w:rPr>
          <w:rFonts w:hint="eastAsia"/>
          <w:i/>
          <w:shd w:val="pct15" w:color="auto" w:fill="FFFFFF"/>
        </w:rPr>
        <w:t>ToAddModList</w:t>
      </w:r>
      <w:r w:rsidRPr="009A3AFA">
        <w:rPr>
          <w:iCs/>
          <w:shd w:val="pct15" w:color="auto" w:fill="FFFFFF"/>
        </w:rPr>
        <w:t xml:space="preserve"> and </w:t>
      </w:r>
      <w:r w:rsidRPr="009A3AFA">
        <w:rPr>
          <w:shd w:val="pct15" w:color="auto" w:fill="FFFFFF"/>
        </w:rPr>
        <w:t xml:space="preserve">a set </w:t>
      </w:r>
      <w:r w:rsidRPr="009A3AFA">
        <w:rPr>
          <w:iCs/>
          <w:noProof/>
          <w:position w:val="-10"/>
          <w:shd w:val="pct15" w:color="auto" w:fill="FFFFFF"/>
        </w:rPr>
        <w:drawing>
          <wp:inline distT="0" distB="0" distL="0" distR="0" wp14:anchorId="65CDBCBD" wp14:editId="1EA37BF7">
            <wp:extent cx="180975" cy="180975"/>
            <wp:effectExtent l="0" t="0" r="9525" b="952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9A3AFA">
        <w:rPr>
          <w:iCs/>
          <w:shd w:val="pct15" w:color="auto" w:fill="FFFFFF"/>
        </w:rPr>
        <w:t xml:space="preserve"> </w:t>
      </w:r>
      <w:r w:rsidRPr="009A3AFA">
        <w:rPr>
          <w:shd w:val="pct15" w:color="auto" w:fill="FFFFFF"/>
        </w:rPr>
        <w:t xml:space="preserve">of periodic CSI-RS resource configuration indexes and/or SS/PBCH block indexes by </w:t>
      </w:r>
      <w:r w:rsidRPr="009A3AFA">
        <w:rPr>
          <w:i/>
          <w:shd w:val="pct15" w:color="auto" w:fill="FFFFFF"/>
          <w:lang w:val="en-US" w:eastAsia="ja-JP"/>
        </w:rPr>
        <w:t>candidateBeamRSList</w:t>
      </w:r>
      <w:r w:rsidRPr="009A3AFA">
        <w:rPr>
          <w:shd w:val="pct15" w:color="auto" w:fill="FFFFFF"/>
          <w:lang w:val="en-US" w:eastAsia="ja-JP"/>
        </w:rPr>
        <w:t xml:space="preserve"> or </w:t>
      </w:r>
      <w:r w:rsidRPr="009A3AFA">
        <w:rPr>
          <w:i/>
          <w:shd w:val="pct15" w:color="auto" w:fill="FFFFFF"/>
        </w:rPr>
        <w:t xml:space="preserve">candidateBeamRSListExt </w:t>
      </w:r>
      <w:r w:rsidRPr="009A3AFA">
        <w:rPr>
          <w:iCs/>
          <w:shd w:val="pct15" w:color="auto" w:fill="FFFFFF"/>
        </w:rPr>
        <w:t>or</w:t>
      </w:r>
      <w:r w:rsidRPr="009A3AFA">
        <w:rPr>
          <w:shd w:val="pct15" w:color="auto" w:fill="FFFFFF"/>
          <w:lang w:eastAsia="ja-JP"/>
        </w:rPr>
        <w:t xml:space="preserve"> </w:t>
      </w:r>
      <w:r w:rsidRPr="009A3AFA">
        <w:rPr>
          <w:i/>
          <w:shd w:val="pct15" w:color="auto" w:fill="FFFFFF"/>
          <w:lang w:eastAsia="ja-JP"/>
        </w:rPr>
        <w:t>candidateBeamRSSCellList</w:t>
      </w:r>
      <w:r w:rsidRPr="009A3AFA">
        <w:rPr>
          <w:shd w:val="pct15" w:color="auto" w:fill="FFFFFF"/>
        </w:rPr>
        <w:t xml:space="preserve"> for radio link quality measurements on the BWP of the serving cell. If the UE is not provided </w:t>
      </w:r>
      <w:r w:rsidRPr="009A3AFA">
        <w:rPr>
          <w:iCs/>
          <w:position w:val="-10"/>
          <w:shd w:val="pct15" w:color="auto" w:fill="FFFFFF"/>
        </w:rPr>
        <w:object w:dxaOrig="240" w:dyaOrig="300" w14:anchorId="20CE9C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9" o:title=""/>
          </v:shape>
          <o:OLEObject Type="Embed" ProgID="Equation.3" ShapeID="_x0000_i1025" DrawAspect="Content" ObjectID="_1703410176" r:id="rId10"/>
        </w:object>
      </w:r>
      <w:r w:rsidRPr="009A3AFA">
        <w:rPr>
          <w:iCs/>
          <w:shd w:val="pct15" w:color="auto" w:fill="FFFFFF"/>
        </w:rPr>
        <w:t xml:space="preserve"> by</w:t>
      </w:r>
      <w:r w:rsidRPr="009A3AFA">
        <w:rPr>
          <w:shd w:val="pct15" w:color="auto" w:fill="FFFFFF"/>
        </w:rPr>
        <w:t xml:space="preserve"> </w:t>
      </w:r>
      <w:r w:rsidRPr="009A3AFA">
        <w:rPr>
          <w:i/>
          <w:shd w:val="pct15" w:color="auto" w:fill="FFFFFF"/>
        </w:rPr>
        <w:t>failureDetectionResources</w:t>
      </w:r>
      <w:r w:rsidRPr="009A3AFA">
        <w:rPr>
          <w:rFonts w:hint="eastAsia"/>
          <w:i/>
          <w:shd w:val="pct15" w:color="auto" w:fill="FFFFFF"/>
        </w:rPr>
        <w:t>ToAddModList</w:t>
      </w:r>
      <w:r w:rsidRPr="009A3AFA">
        <w:rPr>
          <w:szCs w:val="16"/>
          <w:shd w:val="pct15" w:color="auto" w:fill="FFFFFF"/>
        </w:rPr>
        <w:t xml:space="preserve"> for a BWP of the serving cell</w:t>
      </w:r>
      <w:r w:rsidRPr="009A3AFA">
        <w:rPr>
          <w:iCs/>
          <w:shd w:val="pct15" w:color="auto" w:fill="FFFFFF"/>
        </w:rPr>
        <w:t xml:space="preserve">, the UE determines the set </w:t>
      </w:r>
      <w:r w:rsidRPr="009A3AFA">
        <w:rPr>
          <w:iCs/>
          <w:noProof/>
          <w:position w:val="-10"/>
          <w:shd w:val="pct15" w:color="auto" w:fill="FFFFFF"/>
        </w:rPr>
        <w:drawing>
          <wp:inline distT="0" distB="0" distL="0" distR="0" wp14:anchorId="315B19D7" wp14:editId="08F937A2">
            <wp:extent cx="180975" cy="180975"/>
            <wp:effectExtent l="0" t="0" r="9525" b="952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9A3AFA">
        <w:rPr>
          <w:iCs/>
          <w:shd w:val="pct15" w:color="auto" w:fill="FFFFFF"/>
        </w:rPr>
        <w:t xml:space="preserve"> to include periodic CSI-RS resource configuration indexes with same values as the RS indexes in the RS sets indicated by</w:t>
      </w:r>
      <w:r w:rsidRPr="009A3AFA">
        <w:rPr>
          <w:shd w:val="pct15" w:color="auto" w:fill="FFFFFF"/>
        </w:rPr>
        <w:t xml:space="preserve"> </w:t>
      </w:r>
      <w:r w:rsidRPr="009A3AFA">
        <w:rPr>
          <w:i/>
          <w:shd w:val="pct15" w:color="auto" w:fill="FFFFFF"/>
        </w:rPr>
        <w:t>TCI-State</w:t>
      </w:r>
      <w:r w:rsidRPr="009A3AFA">
        <w:rPr>
          <w:shd w:val="pct15" w:color="auto" w:fill="FFFFFF"/>
        </w:rPr>
        <w:t xml:space="preserve"> for respective CORESETs that the UE uses for monitoring PDCCH and, ...</w:t>
      </w:r>
    </w:p>
    <w:p w14:paraId="0C8712B7" w14:textId="5B61E759" w:rsidR="00A5575B" w:rsidRDefault="009A3AFA" w:rsidP="004D1A4F">
      <w:pPr>
        <w:rPr>
          <w:lang w:val="en-US" w:eastAsia="ja-JP"/>
        </w:rPr>
      </w:pPr>
      <w:r>
        <w:rPr>
          <w:rFonts w:hint="eastAsia"/>
          <w:lang w:val="en-US" w:eastAsia="ja-JP"/>
        </w:rPr>
        <w:t>T</w:t>
      </w:r>
      <w:r>
        <w:rPr>
          <w:lang w:val="en-US" w:eastAsia="ja-JP"/>
        </w:rPr>
        <w:t>hus</w:t>
      </w:r>
      <w:r w:rsidR="00A5575B">
        <w:rPr>
          <w:lang w:val="en-US" w:eastAsia="ja-JP"/>
        </w:rPr>
        <w:t xml:space="preserve"> we understand that UE first follows the configuration in </w:t>
      </w:r>
      <w:r w:rsidR="00A5575B" w:rsidRPr="00946004">
        <w:rPr>
          <w:i/>
          <w:iCs/>
          <w:lang w:val="en-US" w:eastAsia="ja-JP"/>
        </w:rPr>
        <w:t>RadioLinkMonitoringConfig</w:t>
      </w:r>
      <w:r w:rsidR="00A5575B">
        <w:rPr>
          <w:lang w:val="en-US" w:eastAsia="ja-JP"/>
        </w:rPr>
        <w:t xml:space="preserve">. UE performs RLM and BFD based on activated TCI </w:t>
      </w:r>
      <w:r w:rsidR="00946004">
        <w:rPr>
          <w:lang w:val="en-US" w:eastAsia="ja-JP"/>
        </w:rPr>
        <w:t xml:space="preserve">states </w:t>
      </w:r>
      <w:r w:rsidR="00A5575B">
        <w:rPr>
          <w:lang w:val="en-US" w:eastAsia="ja-JP"/>
        </w:rPr>
        <w:t xml:space="preserve">for PDCCH only when no RS is configured for RLM and BFD in </w:t>
      </w:r>
      <w:r w:rsidR="00A5575B" w:rsidRPr="00A5575B">
        <w:rPr>
          <w:i/>
          <w:iCs/>
          <w:lang w:val="en-US" w:eastAsia="ja-JP"/>
        </w:rPr>
        <w:t>RadioLinkMonitoringConfig</w:t>
      </w:r>
      <w:r w:rsidR="00A5575B">
        <w:rPr>
          <w:lang w:val="en-US" w:eastAsia="ja-JP"/>
        </w:rPr>
        <w:t xml:space="preserve"> (e.g., for RLM, no RS whose </w:t>
      </w:r>
      <w:r w:rsidR="00A5575B" w:rsidRPr="00A5575B">
        <w:rPr>
          <w:i/>
          <w:iCs/>
          <w:lang w:val="en-US" w:eastAsia="ja-JP"/>
        </w:rPr>
        <w:t>purpose</w:t>
      </w:r>
      <w:r w:rsidR="00A5575B">
        <w:rPr>
          <w:lang w:val="en-US" w:eastAsia="ja-JP"/>
        </w:rPr>
        <w:t xml:space="preserve"> is “</w:t>
      </w:r>
      <w:r w:rsidR="00A5575B" w:rsidRPr="00A5575B">
        <w:rPr>
          <w:i/>
          <w:iCs/>
          <w:lang w:val="en-US" w:eastAsia="ja-JP"/>
        </w:rPr>
        <w:t>rlf</w:t>
      </w:r>
      <w:r w:rsidR="00A5575B">
        <w:rPr>
          <w:lang w:val="en-US" w:eastAsia="ja-JP"/>
        </w:rPr>
        <w:t>” or “</w:t>
      </w:r>
      <w:r w:rsidR="00A5575B" w:rsidRPr="00A5575B">
        <w:rPr>
          <w:i/>
          <w:iCs/>
          <w:lang w:val="en-US" w:eastAsia="ja-JP"/>
        </w:rPr>
        <w:t>both</w:t>
      </w:r>
      <w:r w:rsidR="00A5575B">
        <w:rPr>
          <w:lang w:val="en-US" w:eastAsia="ja-JP"/>
        </w:rPr>
        <w:t>” is configured).</w:t>
      </w:r>
    </w:p>
    <w:p w14:paraId="739AB8F7" w14:textId="495F0F06" w:rsidR="009A3AFA" w:rsidRDefault="009A3AFA" w:rsidP="004D1A4F">
      <w:pPr>
        <w:rPr>
          <w:lang w:val="en-US" w:eastAsia="ja-JP"/>
        </w:rPr>
      </w:pPr>
      <w:r w:rsidRPr="00A5575B">
        <w:rPr>
          <w:rFonts w:hint="eastAsia"/>
          <w:b/>
          <w:bCs/>
          <w:lang w:val="en-US" w:eastAsia="ja-JP"/>
        </w:rPr>
        <w:t>O</w:t>
      </w:r>
      <w:r w:rsidRPr="00A5575B">
        <w:rPr>
          <w:b/>
          <w:bCs/>
          <w:lang w:val="en-US" w:eastAsia="ja-JP"/>
        </w:rPr>
        <w:t xml:space="preserve">bservation </w:t>
      </w:r>
      <w:r w:rsidR="00A5575B">
        <w:rPr>
          <w:b/>
          <w:bCs/>
          <w:lang w:val="en-US" w:eastAsia="ja-JP"/>
        </w:rPr>
        <w:t>2</w:t>
      </w:r>
      <w:r w:rsidRPr="00A5575B">
        <w:rPr>
          <w:b/>
          <w:bCs/>
          <w:lang w:val="en-US" w:eastAsia="ja-JP"/>
        </w:rPr>
        <w:t xml:space="preserve">. </w:t>
      </w:r>
      <w:r w:rsidR="00A5575B" w:rsidRPr="00A5575B">
        <w:rPr>
          <w:b/>
          <w:bCs/>
          <w:lang w:val="en-US" w:eastAsia="ja-JP"/>
        </w:rPr>
        <w:t xml:space="preserve">RLM and BFD follow activated TCI states for PDCCH only when no RS is configured in </w:t>
      </w:r>
      <w:r w:rsidR="00A5575B" w:rsidRPr="00A5575B">
        <w:rPr>
          <w:b/>
          <w:bCs/>
          <w:i/>
          <w:iCs/>
          <w:lang w:val="en-US" w:eastAsia="ja-JP"/>
        </w:rPr>
        <w:t>RadioLinkMonitoringConfig</w:t>
      </w:r>
      <w:r w:rsidR="00A5575B" w:rsidRPr="00A5575B">
        <w:rPr>
          <w:b/>
          <w:bCs/>
          <w:lang w:val="en-US" w:eastAsia="ja-JP"/>
        </w:rPr>
        <w:t>.</w:t>
      </w:r>
    </w:p>
    <w:p w14:paraId="44CE3333" w14:textId="38B8CFE2" w:rsidR="00A5575B" w:rsidRDefault="00A5575B" w:rsidP="004D1A4F">
      <w:pPr>
        <w:rPr>
          <w:lang w:val="en-US" w:eastAsia="ja-JP"/>
        </w:rPr>
      </w:pPr>
      <w:r>
        <w:rPr>
          <w:rFonts w:hint="eastAsia"/>
          <w:lang w:val="en-US" w:eastAsia="ja-JP"/>
        </w:rPr>
        <w:t>R</w:t>
      </w:r>
      <w:r>
        <w:rPr>
          <w:lang w:val="en-US" w:eastAsia="ja-JP"/>
        </w:rPr>
        <w:t xml:space="preserve">eturning to the topic of updating TCI states during SCG deactivated state, in the current specification, </w:t>
      </w:r>
      <w:r w:rsidR="00946004" w:rsidRPr="00A5575B">
        <w:rPr>
          <w:lang w:val="en-US" w:eastAsia="ja-JP"/>
        </w:rPr>
        <w:t>UE cannot perform RLM or BFD according to the TCI states updated by the MN</w:t>
      </w:r>
      <w:r w:rsidR="00946004">
        <w:rPr>
          <w:lang w:val="en-US" w:eastAsia="ja-JP"/>
        </w:rPr>
        <w:t xml:space="preserve"> </w:t>
      </w:r>
      <w:r>
        <w:rPr>
          <w:lang w:val="en-US" w:eastAsia="ja-JP"/>
        </w:rPr>
        <w:t xml:space="preserve">as long as any RS is configured </w:t>
      </w:r>
      <w:r w:rsidR="00946004">
        <w:rPr>
          <w:lang w:val="en-US" w:eastAsia="ja-JP"/>
        </w:rPr>
        <w:t>for</w:t>
      </w:r>
      <w:r>
        <w:rPr>
          <w:lang w:val="en-US" w:eastAsia="ja-JP"/>
        </w:rPr>
        <w:t xml:space="preserve"> RLM or BFD in </w:t>
      </w:r>
      <w:r w:rsidRPr="00A5575B">
        <w:rPr>
          <w:i/>
          <w:iCs/>
          <w:lang w:val="en-US" w:eastAsia="ja-JP"/>
        </w:rPr>
        <w:t>RadioLinkMonitoringConfig</w:t>
      </w:r>
      <w:r w:rsidRPr="00A5575B">
        <w:rPr>
          <w:lang w:val="en-US" w:eastAsia="ja-JP"/>
        </w:rPr>
        <w:t>.</w:t>
      </w:r>
      <w:r>
        <w:rPr>
          <w:lang w:val="en-US" w:eastAsia="ja-JP"/>
        </w:rPr>
        <w:t xml:space="preserve"> Therefore, we propose that RRC reconfiguration for SCG deactivation indication initiated by MN should release RS in </w:t>
      </w:r>
      <w:r w:rsidRPr="00A5575B">
        <w:rPr>
          <w:i/>
          <w:iCs/>
          <w:lang w:val="en-US" w:eastAsia="ja-JP"/>
        </w:rPr>
        <w:t>RadioLinkMonitoringConfig</w:t>
      </w:r>
      <w:r>
        <w:rPr>
          <w:lang w:val="en-US" w:eastAsia="ja-JP"/>
        </w:rPr>
        <w:t>, because otherwise UE cannot trace valid RS for RLM and BFD during SCG deactivated state.</w:t>
      </w:r>
    </w:p>
    <w:p w14:paraId="55C84100" w14:textId="7267CDD3" w:rsidR="00A5575B" w:rsidRDefault="00A5575B" w:rsidP="004D1A4F">
      <w:pPr>
        <w:rPr>
          <w:lang w:val="en-US" w:eastAsia="ja-JP"/>
        </w:rPr>
      </w:pPr>
      <w:r w:rsidRPr="00A5575B">
        <w:rPr>
          <w:rFonts w:hint="eastAsia"/>
          <w:b/>
          <w:bCs/>
          <w:lang w:val="en-US" w:eastAsia="ja-JP"/>
        </w:rPr>
        <w:t>P</w:t>
      </w:r>
      <w:r w:rsidRPr="00A5575B">
        <w:rPr>
          <w:b/>
          <w:bCs/>
          <w:lang w:val="en-US" w:eastAsia="ja-JP"/>
        </w:rPr>
        <w:t xml:space="preserve">roposal </w:t>
      </w:r>
      <w:r>
        <w:rPr>
          <w:b/>
          <w:bCs/>
          <w:lang w:val="en-US" w:eastAsia="ja-JP"/>
        </w:rPr>
        <w:t>2</w:t>
      </w:r>
      <w:r w:rsidRPr="00A5575B">
        <w:rPr>
          <w:b/>
          <w:bCs/>
          <w:lang w:val="en-US" w:eastAsia="ja-JP"/>
        </w:rPr>
        <w:t>. If the network configures UE to perform RLM and BFD while the SCG is deactivated, MN instructs UE to release RSs configured in</w:t>
      </w:r>
      <w:r w:rsidRPr="00A5575B">
        <w:rPr>
          <w:b/>
          <w:bCs/>
          <w:i/>
          <w:iCs/>
          <w:lang w:val="en-US" w:eastAsia="ja-JP"/>
        </w:rPr>
        <w:t xml:space="preserve"> RadioLinkMonitoringConfig</w:t>
      </w:r>
      <w:r w:rsidRPr="00A5575B">
        <w:rPr>
          <w:b/>
          <w:bCs/>
          <w:lang w:val="en-US" w:eastAsia="ja-JP"/>
        </w:rPr>
        <w:t xml:space="preserve"> when MN indicates SCG deactivation.</w:t>
      </w:r>
    </w:p>
    <w:p w14:paraId="10DD9C41" w14:textId="77777777" w:rsidR="007E2FC8" w:rsidRPr="00280561" w:rsidRDefault="007E2FC8" w:rsidP="007E2FC8">
      <w:pPr>
        <w:rPr>
          <w:lang w:eastAsia="ja-JP"/>
        </w:rPr>
      </w:pPr>
    </w:p>
    <w:p w14:paraId="20C02A6E" w14:textId="77777777" w:rsidR="007E2FC8" w:rsidRDefault="007E2FC8" w:rsidP="007E2FC8">
      <w:pPr>
        <w:pStyle w:val="2"/>
        <w:numPr>
          <w:ilvl w:val="0"/>
          <w:numId w:val="2"/>
        </w:numPr>
        <w:rPr>
          <w:lang w:eastAsia="ja-JP"/>
        </w:rPr>
      </w:pPr>
      <w:r>
        <w:rPr>
          <w:rFonts w:hint="eastAsia"/>
          <w:lang w:eastAsia="ja-JP"/>
        </w:rPr>
        <w:t>Summary and proposal</w:t>
      </w:r>
    </w:p>
    <w:p w14:paraId="19BDF4A3" w14:textId="055FFED6" w:rsidR="00A5575B" w:rsidRPr="00A5575B" w:rsidRDefault="00A5575B" w:rsidP="00A5575B">
      <w:pPr>
        <w:rPr>
          <w:b/>
          <w:bCs/>
          <w:lang w:eastAsia="ja-JP"/>
        </w:rPr>
      </w:pPr>
      <w:r w:rsidRPr="00A5575B">
        <w:rPr>
          <w:b/>
          <w:bCs/>
          <w:lang w:eastAsia="ja-JP"/>
        </w:rPr>
        <w:t>Observation 1: If MN updates the TCI state for PDCCH/PDSCH reception during SCG deactivated state, UE can continue RLM and BFD to valid RS even after RLF is detected.</w:t>
      </w:r>
    </w:p>
    <w:p w14:paraId="275ECAC3" w14:textId="77777777" w:rsidR="00A5575B" w:rsidRPr="00A5575B" w:rsidRDefault="00A5575B" w:rsidP="00A5575B">
      <w:pPr>
        <w:rPr>
          <w:b/>
          <w:bCs/>
          <w:lang w:eastAsia="ja-JP"/>
        </w:rPr>
      </w:pPr>
      <w:r w:rsidRPr="00A5575B">
        <w:rPr>
          <w:rFonts w:hint="eastAsia"/>
          <w:b/>
          <w:bCs/>
          <w:lang w:eastAsia="ja-JP"/>
        </w:rPr>
        <w:t>P</w:t>
      </w:r>
      <w:r w:rsidRPr="00A5575B">
        <w:rPr>
          <w:b/>
          <w:bCs/>
          <w:lang w:eastAsia="ja-JP"/>
        </w:rPr>
        <w:t>roposal 1. MN can update the TCI state for PDCCH/PDSCH while SCG is deactivated.</w:t>
      </w:r>
    </w:p>
    <w:p w14:paraId="2D835F23" w14:textId="77777777" w:rsidR="00A5575B" w:rsidRDefault="00A5575B" w:rsidP="00A5575B">
      <w:pPr>
        <w:rPr>
          <w:lang w:val="en-US" w:eastAsia="ja-JP"/>
        </w:rPr>
      </w:pPr>
      <w:r w:rsidRPr="00A5575B">
        <w:rPr>
          <w:rFonts w:hint="eastAsia"/>
          <w:b/>
          <w:bCs/>
          <w:lang w:val="en-US" w:eastAsia="ja-JP"/>
        </w:rPr>
        <w:t>O</w:t>
      </w:r>
      <w:r w:rsidRPr="00A5575B">
        <w:rPr>
          <w:b/>
          <w:bCs/>
          <w:lang w:val="en-US" w:eastAsia="ja-JP"/>
        </w:rPr>
        <w:t xml:space="preserve">bservation </w:t>
      </w:r>
      <w:r>
        <w:rPr>
          <w:b/>
          <w:bCs/>
          <w:lang w:val="en-US" w:eastAsia="ja-JP"/>
        </w:rPr>
        <w:t>2</w:t>
      </w:r>
      <w:r w:rsidRPr="00A5575B">
        <w:rPr>
          <w:b/>
          <w:bCs/>
          <w:lang w:val="en-US" w:eastAsia="ja-JP"/>
        </w:rPr>
        <w:t xml:space="preserve">. RLM and BFD follow activated TCI states for PDCCH only when no RS is configured in </w:t>
      </w:r>
      <w:r w:rsidRPr="00A5575B">
        <w:rPr>
          <w:b/>
          <w:bCs/>
          <w:i/>
          <w:iCs/>
          <w:lang w:val="en-US" w:eastAsia="ja-JP"/>
        </w:rPr>
        <w:t>RadioLinkMonitoringConfig</w:t>
      </w:r>
      <w:r w:rsidRPr="00A5575B">
        <w:rPr>
          <w:b/>
          <w:bCs/>
          <w:lang w:val="en-US" w:eastAsia="ja-JP"/>
        </w:rPr>
        <w:t>.</w:t>
      </w:r>
    </w:p>
    <w:p w14:paraId="36E1728C" w14:textId="77777777" w:rsidR="00A5575B" w:rsidRDefault="00A5575B" w:rsidP="00A5575B">
      <w:pPr>
        <w:rPr>
          <w:lang w:val="en-US" w:eastAsia="ja-JP"/>
        </w:rPr>
      </w:pPr>
      <w:r w:rsidRPr="00A5575B">
        <w:rPr>
          <w:rFonts w:hint="eastAsia"/>
          <w:b/>
          <w:bCs/>
          <w:lang w:val="en-US" w:eastAsia="ja-JP"/>
        </w:rPr>
        <w:t>P</w:t>
      </w:r>
      <w:r w:rsidRPr="00A5575B">
        <w:rPr>
          <w:b/>
          <w:bCs/>
          <w:lang w:val="en-US" w:eastAsia="ja-JP"/>
        </w:rPr>
        <w:t xml:space="preserve">roposal </w:t>
      </w:r>
      <w:r>
        <w:rPr>
          <w:b/>
          <w:bCs/>
          <w:lang w:val="en-US" w:eastAsia="ja-JP"/>
        </w:rPr>
        <w:t>2</w:t>
      </w:r>
      <w:r w:rsidRPr="00A5575B">
        <w:rPr>
          <w:b/>
          <w:bCs/>
          <w:lang w:val="en-US" w:eastAsia="ja-JP"/>
        </w:rPr>
        <w:t>. If the network configures UE to perform RLM and BFD while the SCG is deactivated, MN instructs UE to release RSs configured in</w:t>
      </w:r>
      <w:r w:rsidRPr="00A5575B">
        <w:rPr>
          <w:b/>
          <w:bCs/>
          <w:i/>
          <w:iCs/>
          <w:lang w:val="en-US" w:eastAsia="ja-JP"/>
        </w:rPr>
        <w:t xml:space="preserve"> RadioLinkMonitoringConfig</w:t>
      </w:r>
      <w:r w:rsidRPr="00A5575B">
        <w:rPr>
          <w:b/>
          <w:bCs/>
          <w:lang w:val="en-US" w:eastAsia="ja-JP"/>
        </w:rPr>
        <w:t xml:space="preserve"> when MN indicates SCG deactivation.</w:t>
      </w:r>
    </w:p>
    <w:p w14:paraId="3643FF79" w14:textId="77777777" w:rsidR="00C97CFC" w:rsidRPr="00A5575B" w:rsidRDefault="00C97CFC" w:rsidP="007E2FC8">
      <w:pPr>
        <w:rPr>
          <w:lang w:eastAsia="ja-JP"/>
        </w:rPr>
      </w:pPr>
    </w:p>
    <w:p w14:paraId="69AC8924" w14:textId="77777777" w:rsidR="007E2FC8" w:rsidRPr="00863065" w:rsidRDefault="007E2FC8" w:rsidP="007E2FC8">
      <w:pPr>
        <w:pStyle w:val="2"/>
        <w:numPr>
          <w:ilvl w:val="0"/>
          <w:numId w:val="2"/>
        </w:numPr>
        <w:rPr>
          <w:rFonts w:cs="Arial"/>
          <w:lang w:eastAsia="ja-JP"/>
        </w:rPr>
      </w:pPr>
      <w:r w:rsidRPr="00863065">
        <w:rPr>
          <w:rFonts w:cs="Arial"/>
          <w:lang w:eastAsia="ja-JP"/>
        </w:rPr>
        <w:t>Reference</w:t>
      </w:r>
      <w:r>
        <w:rPr>
          <w:rFonts w:cs="Arial" w:hint="eastAsia"/>
          <w:lang w:eastAsia="ja-JP"/>
        </w:rPr>
        <w:t>s</w:t>
      </w:r>
    </w:p>
    <w:p w14:paraId="38504CA5" w14:textId="63F53ED1" w:rsidR="008E5A66" w:rsidRDefault="00154135" w:rsidP="009A3AFA">
      <w:pPr>
        <w:rPr>
          <w:lang w:eastAsia="ja-JP"/>
        </w:rPr>
      </w:pPr>
      <w:r>
        <w:rPr>
          <w:rFonts w:hint="eastAsia"/>
          <w:lang w:eastAsia="ja-JP"/>
        </w:rPr>
        <w:t>[</w:t>
      </w:r>
      <w:r>
        <w:rPr>
          <w:lang w:eastAsia="ja-JP"/>
        </w:rPr>
        <w:t xml:space="preserve">1] </w:t>
      </w:r>
      <w:r w:rsidR="00094EFC">
        <w:rPr>
          <w:lang w:eastAsia="ja-JP"/>
        </w:rPr>
        <w:t>R2-2110517, “</w:t>
      </w:r>
      <w:r w:rsidR="00094EFC" w:rsidRPr="00094EFC">
        <w:rPr>
          <w:lang w:eastAsia="ja-JP"/>
        </w:rPr>
        <w:t>UE measurements, mobility and suspend/resume in deactivated SCG</w:t>
      </w:r>
      <w:r w:rsidR="00094EFC">
        <w:rPr>
          <w:lang w:eastAsia="ja-JP"/>
        </w:rPr>
        <w:t>,” Ericsson.</w:t>
      </w:r>
    </w:p>
    <w:p w14:paraId="072D86A2" w14:textId="3B3F0A01" w:rsidR="009A3AFA" w:rsidRPr="009A3AFA" w:rsidRDefault="009A3AFA">
      <w:pPr>
        <w:rPr>
          <w:lang w:val="en-US" w:eastAsia="ja-JP"/>
        </w:rPr>
      </w:pPr>
      <w:r>
        <w:rPr>
          <w:rFonts w:hint="eastAsia"/>
          <w:lang w:eastAsia="ja-JP"/>
        </w:rPr>
        <w:t>[</w:t>
      </w:r>
      <w:r>
        <w:rPr>
          <w:lang w:eastAsia="ja-JP"/>
        </w:rPr>
        <w:t>2] TS38.213, “</w:t>
      </w:r>
      <w:r w:rsidRPr="009A3AFA">
        <w:rPr>
          <w:lang w:eastAsia="ja-JP"/>
        </w:rPr>
        <w:t>NR; Physical layer procedures for control</w:t>
      </w:r>
      <w:r>
        <w:rPr>
          <w:lang w:eastAsia="ja-JP"/>
        </w:rPr>
        <w:t>”</w:t>
      </w:r>
      <w:r w:rsidR="00891C4F">
        <w:rPr>
          <w:lang w:eastAsia="ja-JP"/>
        </w:rPr>
        <w:t>.</w:t>
      </w:r>
    </w:p>
    <w:sectPr w:rsidR="009A3AFA" w:rsidRPr="009A3AFA">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E09382" w14:textId="77777777" w:rsidR="000D78E2" w:rsidRDefault="000D78E2" w:rsidP="007E2FC8">
      <w:pPr>
        <w:spacing w:after="0"/>
      </w:pPr>
      <w:r>
        <w:separator/>
      </w:r>
    </w:p>
  </w:endnote>
  <w:endnote w:type="continuationSeparator" w:id="0">
    <w:p w14:paraId="29C7D885" w14:textId="77777777" w:rsidR="000D78E2" w:rsidRDefault="000D78E2" w:rsidP="007E2F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DDD51"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52902B3E" w14:textId="77777777" w:rsidR="00376BC4" w:rsidRDefault="000D78E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75D6E"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1C580D1F" w14:textId="77777777" w:rsidR="00376BC4" w:rsidRDefault="000D78E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2D3BB5" w14:textId="77777777" w:rsidR="000D78E2" w:rsidRDefault="000D78E2" w:rsidP="007E2FC8">
      <w:pPr>
        <w:spacing w:after="0"/>
      </w:pPr>
      <w:r>
        <w:separator/>
      </w:r>
    </w:p>
  </w:footnote>
  <w:footnote w:type="continuationSeparator" w:id="0">
    <w:p w14:paraId="0DA32D0D" w14:textId="77777777" w:rsidR="000D78E2" w:rsidRDefault="000D78E2" w:rsidP="007E2F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FC00D9" w14:textId="77777777" w:rsidR="00376BC4" w:rsidRDefault="000D78E2">
    <w:pPr>
      <w:pStyle w:val="a3"/>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94EFC"/>
    <w:rsid w:val="000D0842"/>
    <w:rsid w:val="000D22DD"/>
    <w:rsid w:val="000D78E2"/>
    <w:rsid w:val="00154135"/>
    <w:rsid w:val="001D62D3"/>
    <w:rsid w:val="0020061B"/>
    <w:rsid w:val="00222B0D"/>
    <w:rsid w:val="00356C07"/>
    <w:rsid w:val="004D1A4F"/>
    <w:rsid w:val="004E6B03"/>
    <w:rsid w:val="00581FC1"/>
    <w:rsid w:val="005F73C8"/>
    <w:rsid w:val="00727570"/>
    <w:rsid w:val="007E2FC8"/>
    <w:rsid w:val="00891C4F"/>
    <w:rsid w:val="00895E8B"/>
    <w:rsid w:val="008E5A66"/>
    <w:rsid w:val="0091239D"/>
    <w:rsid w:val="00946004"/>
    <w:rsid w:val="009A3AFA"/>
    <w:rsid w:val="00A5575B"/>
    <w:rsid w:val="00A90566"/>
    <w:rsid w:val="00AE203D"/>
    <w:rsid w:val="00AF5AE1"/>
    <w:rsid w:val="00C97CFC"/>
    <w:rsid w:val="00CB7B7A"/>
    <w:rsid w:val="00D00DDE"/>
    <w:rsid w:val="00D94041"/>
    <w:rsid w:val="00E173D1"/>
    <w:rsid w:val="00E951A8"/>
    <w:rsid w:val="00F077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48643ED"/>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2FC8"/>
    <w:pPr>
      <w:spacing w:after="180"/>
    </w:pPr>
    <w:rPr>
      <w:rFonts w:ascii="Times New Roman" w:eastAsia="ＭＳ 明朝" w:hAnsi="Times New Roman" w:cs="Times New Roman"/>
      <w:kern w:val="0"/>
      <w:sz w:val="20"/>
      <w:szCs w:val="20"/>
      <w:lang w:val="en-GB" w:eastAsia="en-US"/>
    </w:r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qFormat/>
    <w:rsid w:val="007E2FC8"/>
    <w:pPr>
      <w:keepNext/>
      <w:keepLines/>
      <w:spacing w:after="0"/>
      <w:jc w:val="center"/>
    </w:pPr>
    <w:rPr>
      <w:rFonts w:ascii="Arial" w:hAnsi="Arial"/>
      <w:b/>
      <w:sz w:val="18"/>
    </w:rPr>
  </w:style>
  <w:style w:type="paragraph" w:customStyle="1" w:styleId="TAL">
    <w:name w:val="TAL"/>
    <w:basedOn w:val="a"/>
    <w:link w:val="TALCar"/>
    <w:qFormat/>
    <w:rsid w:val="007E2FC8"/>
    <w:pPr>
      <w:keepNext/>
      <w:keepLines/>
      <w:spacing w:after="0"/>
    </w:pPr>
    <w:rPr>
      <w:rFonts w:ascii="Arial" w:hAnsi="Arial"/>
      <w:sz w:val="18"/>
    </w:rPr>
  </w:style>
  <w:style w:type="paragraph" w:styleId="a7">
    <w:name w:val="Title"/>
    <w:basedOn w:val="a"/>
    <w:link w:val="a8"/>
    <w:qFormat/>
    <w:rsid w:val="007E2FC8"/>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rFonts w:ascii="Arial" w:hAnsi="Arial"/>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styleId="Web">
    <w:name w:val="Normal (Web)"/>
    <w:basedOn w:val="a"/>
    <w:uiPriority w:val="99"/>
    <w:semiHidden/>
    <w:unhideWhenUsed/>
    <w:rsid w:val="004D1A4F"/>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B1">
    <w:name w:val="B1"/>
    <w:basedOn w:val="a"/>
    <w:link w:val="B1Zchn"/>
    <w:qFormat/>
    <w:rsid w:val="009A3AFA"/>
    <w:pPr>
      <w:ind w:left="568" w:hanging="284"/>
    </w:pPr>
    <w:rPr>
      <w:rFonts w:eastAsia="SimSun"/>
      <w:lang w:val="x-none"/>
    </w:rPr>
  </w:style>
  <w:style w:type="character" w:customStyle="1" w:styleId="B1Zchn">
    <w:name w:val="B1 Zchn"/>
    <w:link w:val="B1"/>
    <w:qFormat/>
    <w:rsid w:val="009A3AFA"/>
    <w:rPr>
      <w:rFonts w:ascii="Times New Roman" w:eastAsia="SimSun" w:hAnsi="Times New Roman" w:cs="Times New Roman"/>
      <w:kern w:val="0"/>
      <w:sz w:val="20"/>
      <w:szCs w:val="20"/>
      <w:lang w:val="x-none" w:eastAsia="en-US"/>
    </w:rPr>
  </w:style>
  <w:style w:type="paragraph" w:styleId="aa">
    <w:name w:val="List Paragraph"/>
    <w:basedOn w:val="a"/>
    <w:uiPriority w:val="34"/>
    <w:qFormat/>
    <w:rsid w:val="00A5575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7040150">
      <w:bodyDiv w:val="1"/>
      <w:marLeft w:val="0"/>
      <w:marRight w:val="0"/>
      <w:marTop w:val="0"/>
      <w:marBottom w:val="0"/>
      <w:divBdr>
        <w:top w:val="none" w:sz="0" w:space="0" w:color="auto"/>
        <w:left w:val="none" w:sz="0" w:space="0" w:color="auto"/>
        <w:bottom w:val="none" w:sz="0" w:space="0" w:color="auto"/>
        <w:right w:val="none" w:sz="0" w:space="0" w:color="auto"/>
      </w:divBdr>
    </w:div>
    <w:div w:id="2095201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223</TotalTime>
  <Pages>2</Pages>
  <Words>777</Words>
  <Characters>4434</Characters>
  <Application>Microsoft Office Word</Application>
  <DocSecurity>0</DocSecurity>
  <Lines>36</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Riki Okawa</cp:lastModifiedBy>
  <cp:revision>23</cp:revision>
  <dcterms:created xsi:type="dcterms:W3CDTF">2021-10-20T07:13:00Z</dcterms:created>
  <dcterms:modified xsi:type="dcterms:W3CDTF">2022-01-11T03:42:00Z</dcterms:modified>
</cp:coreProperties>
</file>